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A9CD" w14:textId="38842394" w:rsidR="000457D9" w:rsidRDefault="00C34F7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BB29D69" wp14:editId="5D75AC71">
            <wp:simplePos x="0" y="0"/>
            <wp:positionH relativeFrom="column">
              <wp:posOffset>272415</wp:posOffset>
            </wp:positionH>
            <wp:positionV relativeFrom="paragraph">
              <wp:posOffset>0</wp:posOffset>
            </wp:positionV>
            <wp:extent cx="1152525" cy="1200150"/>
            <wp:effectExtent l="0" t="0" r="9525" b="0"/>
            <wp:wrapSquare wrapText="bothSides"/>
            <wp:docPr id="1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VRAT-Z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14:paraId="4055C127" w14:textId="34DFCD96" w:rsidR="00C34F78" w:rsidRDefault="00C34F78"/>
    <w:p w14:paraId="02591AA3" w14:textId="05324EE5" w:rsidR="00C34F78" w:rsidRDefault="00C34F78" w:rsidP="00C34F78">
      <w:pPr>
        <w:pStyle w:val="Zhlav"/>
        <w:tabs>
          <w:tab w:val="clear" w:pos="9072"/>
        </w:tabs>
        <w:jc w:val="center"/>
        <w:rPr>
          <w:rFonts w:ascii="Times New Roman" w:hAnsi="Times New Roman"/>
          <w:b/>
          <w:sz w:val="40"/>
          <w:szCs w:val="40"/>
        </w:rPr>
      </w:pPr>
      <w:r w:rsidRPr="000203B0">
        <w:rPr>
          <w:rFonts w:ascii="Times New Roman" w:hAnsi="Times New Roman"/>
          <w:b/>
          <w:sz w:val="44"/>
          <w:szCs w:val="44"/>
        </w:rPr>
        <w:t>Obec Přívrat</w:t>
      </w:r>
    </w:p>
    <w:p w14:paraId="08DEB3DC" w14:textId="76096B26" w:rsidR="00C34F78" w:rsidRDefault="00C34F78"/>
    <w:p w14:paraId="62608757" w14:textId="2C34FC3C" w:rsidR="00C34F78" w:rsidRDefault="00C34F78"/>
    <w:p w14:paraId="655D2F2C" w14:textId="77777777" w:rsidR="002B09F8" w:rsidRDefault="002B09F8" w:rsidP="002B09F8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Přívrat č. 2/2020,</w:t>
      </w:r>
    </w:p>
    <w:p w14:paraId="42E799BB" w14:textId="77777777" w:rsidR="002B09F8" w:rsidRDefault="002B09F8" w:rsidP="002B09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A01603E" w14:textId="77777777" w:rsidR="002B09F8" w:rsidRPr="00686CC9" w:rsidRDefault="002B09F8" w:rsidP="002B09F8">
      <w:pPr>
        <w:jc w:val="center"/>
        <w:rPr>
          <w:rFonts w:ascii="Arial" w:hAnsi="Arial" w:cs="Arial"/>
          <w:b/>
        </w:rPr>
      </w:pPr>
    </w:p>
    <w:p w14:paraId="31D6050A" w14:textId="77777777" w:rsidR="002B09F8" w:rsidRPr="0001228D" w:rsidRDefault="002B09F8" w:rsidP="002B09F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Přívrat</w:t>
      </w:r>
      <w:r w:rsidRPr="002B668D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29.1.2020</w:t>
      </w:r>
      <w:r w:rsidRPr="002B668D"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</w:r>
      <w:r w:rsidRPr="002B668D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3 </w:t>
      </w:r>
      <w:r w:rsidRPr="002B668D">
        <w:rPr>
          <w:rFonts w:ascii="Arial" w:hAnsi="Arial" w:cs="Arial"/>
        </w:rPr>
        <w:t xml:space="preserve">usneslo vydat na </w:t>
      </w:r>
      <w:r w:rsidRPr="0001228D">
        <w:rPr>
          <w:rFonts w:ascii="Arial" w:hAnsi="Arial" w:cs="Arial"/>
        </w:rPr>
        <w:t>základě § 14 zákona č. 565/1990 Sb., o místních poplatcích</w:t>
      </w:r>
      <w:bookmarkStart w:id="0" w:name="_GoBack"/>
      <w:bookmarkEnd w:id="0"/>
      <w:r w:rsidRPr="0001228D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 xml:space="preserve"> (dále jen „zákon o místních poplatcích“)</w:t>
      </w:r>
      <w:r w:rsidRPr="0001228D">
        <w:rPr>
          <w:rFonts w:ascii="Arial" w:hAnsi="Arial" w:cs="Arial"/>
        </w:rPr>
        <w:t xml:space="preserve">, a v souladu s § 10 písm. d) </w:t>
      </w:r>
      <w:r>
        <w:rPr>
          <w:rFonts w:ascii="Arial" w:hAnsi="Arial" w:cs="Arial"/>
        </w:rPr>
        <w:br/>
      </w:r>
      <w:r w:rsidRPr="0001228D">
        <w:rPr>
          <w:rFonts w:ascii="Arial" w:hAnsi="Arial" w:cs="Arial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</w:rPr>
        <w:t xml:space="preserve">tato </w:t>
      </w:r>
      <w:r w:rsidRPr="0001228D">
        <w:rPr>
          <w:rFonts w:ascii="Arial" w:hAnsi="Arial" w:cs="Arial"/>
        </w:rPr>
        <w:t xml:space="preserve">vyhláška“): </w:t>
      </w:r>
    </w:p>
    <w:p w14:paraId="7A8C144A" w14:textId="77777777" w:rsidR="002B09F8" w:rsidRPr="0001228D" w:rsidRDefault="002B09F8" w:rsidP="002B09F8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AF35BE8" w14:textId="77777777" w:rsidR="002B09F8" w:rsidRPr="0001228D" w:rsidRDefault="002B09F8" w:rsidP="002B09F8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519CB65" w14:textId="77777777" w:rsidR="002B09F8" w:rsidRPr="0001228D" w:rsidRDefault="002B09F8" w:rsidP="002B09F8">
      <w:pPr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Přívrat</w:t>
      </w:r>
      <w:r w:rsidRPr="0001228D">
        <w:rPr>
          <w:rFonts w:ascii="Arial" w:hAnsi="Arial" w:cs="Arial"/>
        </w:rPr>
        <w:t xml:space="preserve"> touto vyhláškou zavádí místní poplatek ze psů (dále jen „poplatek“).</w:t>
      </w:r>
    </w:p>
    <w:p w14:paraId="199C9BC3" w14:textId="77777777" w:rsidR="002B09F8" w:rsidRPr="0001228D" w:rsidRDefault="002B09F8" w:rsidP="002B09F8">
      <w:pPr>
        <w:numPr>
          <w:ilvl w:val="0"/>
          <w:numId w:val="19"/>
        </w:numPr>
        <w:spacing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Přívrat</w:t>
      </w:r>
      <w:r w:rsidRPr="0001228D">
        <w:rPr>
          <w:rFonts w:ascii="Arial" w:hAnsi="Arial" w:cs="Arial"/>
        </w:rPr>
        <w:t>.</w:t>
      </w:r>
      <w:r w:rsidRPr="0001228D">
        <w:rPr>
          <w:rFonts w:ascii="Arial" w:hAnsi="Arial" w:cs="Arial"/>
          <w:vertAlign w:val="superscript"/>
        </w:rPr>
        <w:footnoteReference w:id="1"/>
      </w:r>
    </w:p>
    <w:p w14:paraId="281058EA" w14:textId="77777777" w:rsidR="002B09F8" w:rsidRPr="007C6483" w:rsidRDefault="002B09F8" w:rsidP="002B09F8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62FD104" w14:textId="77777777" w:rsidR="002B09F8" w:rsidRPr="007C6483" w:rsidRDefault="002B09F8" w:rsidP="002B09F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3724F49" w14:textId="77777777" w:rsidR="002B09F8" w:rsidRPr="007C6483" w:rsidRDefault="002B09F8" w:rsidP="002B09F8">
      <w:pPr>
        <w:numPr>
          <w:ilvl w:val="0"/>
          <w:numId w:val="21"/>
        </w:numPr>
        <w:spacing w:after="0" w:line="288" w:lineRule="auto"/>
        <w:jc w:val="both"/>
      </w:pPr>
      <w:r w:rsidRPr="007C6483">
        <w:rPr>
          <w:rFonts w:ascii="Arial" w:hAnsi="Arial" w:cs="Arial"/>
        </w:rPr>
        <w:t xml:space="preserve">Poplatek ze psů platí držitel psa. Držitelem je </w:t>
      </w:r>
      <w:r>
        <w:rPr>
          <w:rFonts w:ascii="Arial" w:hAnsi="Arial" w:cs="Arial"/>
        </w:rPr>
        <w:t xml:space="preserve">pro účely tohoto poplatku </w:t>
      </w:r>
      <w:r w:rsidRPr="00881F45">
        <w:rPr>
          <w:rFonts w:ascii="Arial" w:hAnsi="Arial" w:cs="Arial"/>
        </w:rPr>
        <w:t xml:space="preserve">osoba, která je přihlášená nebo má sídlo na území </w:t>
      </w:r>
      <w:r>
        <w:rPr>
          <w:rFonts w:ascii="Arial" w:hAnsi="Arial" w:cs="Arial"/>
        </w:rPr>
        <w:t>České republiky (dále jen „poplatník“).</w:t>
      </w:r>
      <w:r w:rsidRPr="007C6483">
        <w:rPr>
          <w:rFonts w:ascii="Arial" w:hAnsi="Arial" w:cs="Arial"/>
          <w:vertAlign w:val="superscript"/>
        </w:rPr>
        <w:footnoteReference w:id="2"/>
      </w:r>
    </w:p>
    <w:p w14:paraId="13586C47" w14:textId="77777777" w:rsidR="002B09F8" w:rsidRPr="007C6483" w:rsidRDefault="002B09F8" w:rsidP="002B09F8">
      <w:pPr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 se platí ze psů starších 3 měsíců.</w:t>
      </w:r>
      <w:r w:rsidRPr="007C6483">
        <w:rPr>
          <w:rFonts w:ascii="Arial" w:hAnsi="Arial" w:cs="Arial"/>
          <w:vertAlign w:val="superscript"/>
        </w:rPr>
        <w:footnoteReference w:id="3"/>
      </w:r>
    </w:p>
    <w:p w14:paraId="423EA195" w14:textId="77777777" w:rsidR="002B09F8" w:rsidRPr="004035A7" w:rsidRDefault="002B09F8" w:rsidP="002B09F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7C99709" w14:textId="77777777" w:rsidR="002B09F8" w:rsidRPr="0080616A" w:rsidRDefault="002B09F8" w:rsidP="002B09F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BB4202B" w14:textId="77777777" w:rsidR="002B09F8" w:rsidRPr="00154F39" w:rsidRDefault="002B09F8" w:rsidP="002B09F8">
      <w:pPr>
        <w:numPr>
          <w:ilvl w:val="0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Pr="00833C29">
        <w:rPr>
          <w:rFonts w:ascii="Arial" w:hAnsi="Arial" w:cs="Arial"/>
        </w:rPr>
        <w:t xml:space="preserve"> je povinen ohlásit správci poplatku vznik své poplatkové povinnosti do </w:t>
      </w:r>
      <w:r>
        <w:rPr>
          <w:rFonts w:ascii="Arial" w:hAnsi="Arial" w:cs="Arial"/>
        </w:rPr>
        <w:t>30</w:t>
      </w:r>
      <w:r w:rsidRPr="00833C29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>,</w:t>
      </w:r>
      <w:r w:rsidRPr="00833C29">
        <w:rPr>
          <w:rFonts w:ascii="Arial" w:hAnsi="Arial" w:cs="Arial"/>
        </w:rPr>
        <w:t xml:space="preserve"> </w:t>
      </w:r>
      <w:r w:rsidRPr="002824A7">
        <w:rPr>
          <w:rFonts w:ascii="Arial" w:hAnsi="Arial" w:cs="Arial"/>
        </w:rPr>
        <w:t>kdy se pes stal starším tří měsíců, nebo</w:t>
      </w:r>
      <w:r>
        <w:rPr>
          <w:rFonts w:ascii="Arial" w:hAnsi="Arial" w:cs="Arial"/>
        </w:rPr>
        <w:t xml:space="preserve"> ode dne,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tří měsíců.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Ve lhůtě 30 dnů </w:t>
      </w:r>
      <w:r w:rsidRPr="00154F39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>ohlás</w:t>
      </w:r>
      <w:r w:rsidRPr="00154F39">
        <w:rPr>
          <w:rFonts w:ascii="Arial" w:hAnsi="Arial" w:cs="Arial"/>
        </w:rPr>
        <w:t>it také zánik své poplatkové povinnosti</w:t>
      </w:r>
      <w:r>
        <w:rPr>
          <w:rFonts w:ascii="Arial" w:hAnsi="Arial" w:cs="Arial"/>
        </w:rPr>
        <w:t xml:space="preserve"> (např. úhyn psa, jeho ztrátu, darování nebo prodej)</w:t>
      </w:r>
      <w:r w:rsidRPr="00154F39">
        <w:rPr>
          <w:rFonts w:ascii="Arial" w:hAnsi="Arial" w:cs="Arial"/>
        </w:rPr>
        <w:t>.</w:t>
      </w:r>
    </w:p>
    <w:p w14:paraId="1842DAAE" w14:textId="77777777" w:rsidR="002B09F8" w:rsidRPr="00C4447F" w:rsidRDefault="002B09F8" w:rsidP="002B09F8">
      <w:pPr>
        <w:numPr>
          <w:ilvl w:val="0"/>
          <w:numId w:val="28"/>
        </w:numPr>
        <w:spacing w:before="120" w:after="0" w:line="288" w:lineRule="auto"/>
        <w:jc w:val="both"/>
        <w:rPr>
          <w:rFonts w:ascii="Arial" w:hAnsi="Arial" w:cs="Arial"/>
          <w:i/>
        </w:rPr>
      </w:pPr>
      <w:r w:rsidRPr="00833C29">
        <w:rPr>
          <w:rFonts w:ascii="Arial" w:hAnsi="Arial" w:cs="Arial"/>
        </w:rPr>
        <w:t>Povinnost ohlásit držení psa má i osoba, která je od poplatku osvobozena</w:t>
      </w:r>
      <w:r w:rsidRPr="00833C29">
        <w:rPr>
          <w:rFonts w:ascii="Arial" w:hAnsi="Arial" w:cs="Arial"/>
          <w:i/>
        </w:rPr>
        <w:t>.</w:t>
      </w:r>
    </w:p>
    <w:p w14:paraId="57CBFC82" w14:textId="77777777" w:rsidR="002B09F8" w:rsidRDefault="002B09F8" w:rsidP="002B09F8">
      <w:pPr>
        <w:numPr>
          <w:ilvl w:val="0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>poplatník</w:t>
      </w:r>
      <w:r w:rsidRPr="00A04C8B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</w:p>
    <w:p w14:paraId="47A2E303" w14:textId="77777777" w:rsidR="002B09F8" w:rsidRDefault="002B09F8" w:rsidP="002B09F8">
      <w:pPr>
        <w:spacing w:before="120" w:after="0" w:line="288" w:lineRule="auto"/>
        <w:jc w:val="both"/>
        <w:rPr>
          <w:rFonts w:ascii="Arial" w:hAnsi="Arial" w:cs="Arial"/>
        </w:rPr>
      </w:pPr>
    </w:p>
    <w:p w14:paraId="4EEBD77C" w14:textId="77777777" w:rsidR="002B09F8" w:rsidRDefault="002B09F8" w:rsidP="002B09F8">
      <w:pPr>
        <w:spacing w:before="120" w:after="0" w:line="288" w:lineRule="auto"/>
        <w:ind w:left="1021"/>
        <w:jc w:val="both"/>
        <w:rPr>
          <w:rFonts w:ascii="Arial" w:hAnsi="Arial" w:cs="Arial"/>
        </w:rPr>
      </w:pPr>
    </w:p>
    <w:p w14:paraId="48B69161" w14:textId="77777777" w:rsidR="002B09F8" w:rsidRPr="003F2EDA" w:rsidRDefault="002B09F8" w:rsidP="002B09F8">
      <w:pPr>
        <w:numPr>
          <w:ilvl w:val="1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 w:rsidRPr="003F2EDA">
        <w:rPr>
          <w:rFonts w:ascii="Arial" w:hAnsi="Arial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F40E35" w14:textId="77777777" w:rsidR="002B09F8" w:rsidRPr="0001228D" w:rsidRDefault="002B09F8" w:rsidP="002B09F8">
      <w:pPr>
        <w:numPr>
          <w:ilvl w:val="1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3D1C42C" w14:textId="77777777" w:rsidR="002B09F8" w:rsidRPr="0001228D" w:rsidRDefault="002B09F8" w:rsidP="002B09F8">
      <w:pPr>
        <w:numPr>
          <w:ilvl w:val="1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715F994F" w14:textId="77777777" w:rsidR="002B09F8" w:rsidRPr="0001228D" w:rsidRDefault="002B09F8" w:rsidP="002B09F8">
      <w:pPr>
        <w:numPr>
          <w:ilvl w:val="0"/>
          <w:numId w:val="28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Dojde-li ke změně údajů uvedených v ohlášení, je poplatník povinen tuto změnu oznámit do </w:t>
      </w:r>
      <w:r>
        <w:rPr>
          <w:rFonts w:ascii="Arial" w:hAnsi="Arial" w:cs="Arial"/>
        </w:rPr>
        <w:t>30</w:t>
      </w:r>
      <w:r w:rsidRPr="000122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dnů </w:t>
      </w:r>
      <w:r w:rsidRPr="0001228D">
        <w:rPr>
          <w:rFonts w:ascii="Arial" w:hAnsi="Arial" w:cs="Arial"/>
        </w:rPr>
        <w:t>ode dne, kdy nastala.</w:t>
      </w:r>
      <w:r w:rsidRPr="0001228D">
        <w:rPr>
          <w:rStyle w:val="Znakapoznpodarou"/>
          <w:rFonts w:ascii="Arial" w:hAnsi="Arial" w:cs="Arial"/>
        </w:rPr>
        <w:footnoteReference w:id="5"/>
      </w:r>
    </w:p>
    <w:p w14:paraId="7B8956EB" w14:textId="77777777" w:rsidR="002B09F8" w:rsidRDefault="002B09F8" w:rsidP="002B09F8">
      <w:pPr>
        <w:numPr>
          <w:ilvl w:val="0"/>
          <w:numId w:val="28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6"/>
      </w:r>
    </w:p>
    <w:p w14:paraId="5ED872E0" w14:textId="77777777" w:rsidR="002B09F8" w:rsidRPr="004035A7" w:rsidRDefault="002B09F8" w:rsidP="002B09F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0BBDECE" w14:textId="77777777" w:rsidR="002B09F8" w:rsidRPr="0080616A" w:rsidRDefault="002B09F8" w:rsidP="002B09F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5F601A" w14:textId="77777777" w:rsidR="002B09F8" w:rsidRDefault="002B09F8" w:rsidP="002B09F8">
      <w:pPr>
        <w:spacing w:line="288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 </w:t>
      </w:r>
      <w:r w:rsidRPr="0080616A">
        <w:rPr>
          <w:rFonts w:ascii="Arial" w:hAnsi="Arial" w:cs="Arial"/>
        </w:rPr>
        <w:t>činí:</w:t>
      </w:r>
    </w:p>
    <w:p w14:paraId="0FF68211" w14:textId="77777777" w:rsidR="002B09F8" w:rsidRPr="004035A7" w:rsidRDefault="002B09F8" w:rsidP="002B09F8">
      <w:pPr>
        <w:numPr>
          <w:ilvl w:val="1"/>
          <w:numId w:val="29"/>
        </w:numPr>
        <w:spacing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jednoho</w:t>
      </w:r>
      <w:r w:rsidRPr="0080616A">
        <w:rPr>
          <w:rFonts w:ascii="Arial" w:hAnsi="Arial" w:cs="Arial"/>
        </w:rPr>
        <w:t xml:space="preserve"> psa</w:t>
      </w:r>
      <w:r>
        <w:rPr>
          <w:rFonts w:ascii="Arial" w:hAnsi="Arial" w:cs="Arial"/>
        </w:rPr>
        <w:t xml:space="preserve">                                                                        50 K</w:t>
      </w:r>
      <w:r w:rsidRPr="0080616A">
        <w:rPr>
          <w:rFonts w:ascii="Arial" w:hAnsi="Arial" w:cs="Arial"/>
        </w:rPr>
        <w:t>č,</w:t>
      </w:r>
    </w:p>
    <w:p w14:paraId="7EE877A0" w14:textId="77777777" w:rsidR="002B09F8" w:rsidRPr="004035A7" w:rsidRDefault="002B09F8" w:rsidP="002B09F8">
      <w:pPr>
        <w:numPr>
          <w:ilvl w:val="1"/>
          <w:numId w:val="29"/>
        </w:numPr>
        <w:spacing w:after="0" w:line="288" w:lineRule="auto"/>
        <w:jc w:val="both"/>
        <w:rPr>
          <w:rFonts w:ascii="Arial" w:hAnsi="Arial" w:cs="Arial"/>
        </w:rPr>
      </w:pPr>
      <w:r w:rsidRPr="004035A7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 xml:space="preserve">                   50</w:t>
      </w:r>
      <w:r w:rsidRPr="004035A7">
        <w:rPr>
          <w:rFonts w:ascii="Arial" w:hAnsi="Arial" w:cs="Arial"/>
        </w:rPr>
        <w:t xml:space="preserve"> Kč,</w:t>
      </w:r>
    </w:p>
    <w:p w14:paraId="374230D5" w14:textId="77777777" w:rsidR="002B09F8" w:rsidRPr="004035A7" w:rsidRDefault="002B09F8" w:rsidP="002B09F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1583107" w14:textId="77777777" w:rsidR="002B09F8" w:rsidRDefault="002B09F8" w:rsidP="002B09F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F5D7E42" w14:textId="77777777" w:rsidR="002B09F8" w:rsidRDefault="002B09F8" w:rsidP="002B09F8">
      <w:pPr>
        <w:numPr>
          <w:ilvl w:val="0"/>
          <w:numId w:val="8"/>
        </w:numPr>
        <w:spacing w:before="120"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80616A">
        <w:rPr>
          <w:rFonts w:ascii="Arial" w:hAnsi="Arial" w:cs="Arial"/>
        </w:rPr>
        <w:t>d</w:t>
      </w:r>
      <w:r>
        <w:rPr>
          <w:rFonts w:ascii="Arial" w:hAnsi="Arial" w:cs="Arial"/>
        </w:rPr>
        <w:t>o 60 dne příslušného kalendářního roku.</w:t>
      </w:r>
    </w:p>
    <w:p w14:paraId="30C183F8" w14:textId="77777777" w:rsidR="002B09F8" w:rsidRPr="003F2EDA" w:rsidRDefault="002B09F8" w:rsidP="002B09F8">
      <w:pPr>
        <w:numPr>
          <w:ilvl w:val="0"/>
          <w:numId w:val="8"/>
        </w:numPr>
        <w:spacing w:before="120" w:after="0" w:line="288" w:lineRule="auto"/>
        <w:ind w:firstLine="708"/>
        <w:jc w:val="both"/>
        <w:rPr>
          <w:rFonts w:ascii="Arial" w:hAnsi="Arial" w:cs="Arial"/>
        </w:rPr>
      </w:pPr>
      <w:r w:rsidRPr="003F2EDA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0AF085D8" w14:textId="77777777" w:rsidR="002B09F8" w:rsidRPr="004035A7" w:rsidRDefault="002B09F8" w:rsidP="002B09F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84B68E7" w14:textId="629D2C8C" w:rsidR="002B09F8" w:rsidRPr="004035A7" w:rsidRDefault="002B09F8" w:rsidP="002B09F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004354F" w14:textId="77777777" w:rsidR="002B09F8" w:rsidRPr="005052D1" w:rsidRDefault="002B09F8" w:rsidP="006671F5">
      <w:pPr>
        <w:spacing w:after="0" w:line="288" w:lineRule="auto"/>
        <w:ind w:left="567"/>
        <w:jc w:val="both"/>
        <w:rPr>
          <w:rFonts w:ascii="Arial" w:hAnsi="Arial" w:cs="Arial"/>
        </w:rPr>
      </w:pPr>
      <w:r w:rsidRPr="00A73F5A">
        <w:rPr>
          <w:rFonts w:ascii="Arial" w:hAnsi="Arial" w:cs="Arial"/>
        </w:rPr>
        <w:t>Od poplatku ze psů je osvobozen držitel psa, kterým</w:t>
      </w:r>
      <w:r>
        <w:rPr>
          <w:rFonts w:ascii="Arial" w:hAnsi="Arial" w:cs="Arial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</w:rPr>
        <w:t>, osoba pr</w:t>
      </w:r>
      <w:r>
        <w:rPr>
          <w:rFonts w:ascii="Arial" w:hAnsi="Arial" w:cs="Arial"/>
        </w:rPr>
        <w:t>ovádějící výcvik psů určených k </w:t>
      </w:r>
      <w:r w:rsidRPr="00A73F5A">
        <w:rPr>
          <w:rFonts w:ascii="Arial" w:hAnsi="Arial" w:cs="Arial"/>
        </w:rPr>
        <w:t xml:space="preserve">doprovodu těchto osob, osoba provozující </w:t>
      </w:r>
      <w:r>
        <w:rPr>
          <w:rFonts w:ascii="Arial" w:hAnsi="Arial" w:cs="Arial"/>
        </w:rPr>
        <w:t>útulek pro zvířata</w:t>
      </w:r>
      <w:r w:rsidRPr="00A73F5A">
        <w:rPr>
          <w:rFonts w:ascii="Arial" w:hAnsi="Arial" w:cs="Arial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  <w:r w:rsidRPr="005052D1">
        <w:rPr>
          <w:rFonts w:ascii="Arial" w:hAnsi="Arial" w:cs="Arial"/>
        </w:rPr>
        <w:t xml:space="preserve"> </w:t>
      </w:r>
    </w:p>
    <w:p w14:paraId="0C7DC928" w14:textId="77777777" w:rsidR="002B09F8" w:rsidRPr="00F0789D" w:rsidRDefault="002B09F8" w:rsidP="002B09F8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09AB283" w14:textId="77777777" w:rsidR="002B09F8" w:rsidRDefault="002B09F8" w:rsidP="002B09F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9BF2128" w14:textId="77777777" w:rsidR="002B09F8" w:rsidRPr="00A04C8B" w:rsidRDefault="002B09F8" w:rsidP="002B09F8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Nebudou-li poplatky zaplaceny </w:t>
      </w:r>
      <w:r>
        <w:rPr>
          <w:rFonts w:ascii="Arial" w:hAnsi="Arial" w:cs="Arial"/>
        </w:rPr>
        <w:t>poplatníkem</w:t>
      </w:r>
      <w:r w:rsidRPr="00A04C8B">
        <w:rPr>
          <w:rFonts w:ascii="Arial" w:hAnsi="Arial" w:cs="Arial"/>
        </w:rPr>
        <w:t xml:space="preserve"> včas nebo ve správné výši, vyměří mu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poplatek platebním výměrem</w:t>
      </w:r>
      <w:r>
        <w:rPr>
          <w:rFonts w:ascii="Arial" w:hAnsi="Arial" w:cs="Arial"/>
        </w:rPr>
        <w:t xml:space="preserve"> nebo hromadným předpisným seznamem</w:t>
      </w:r>
      <w:r w:rsidRPr="00A04C8B">
        <w:rPr>
          <w:rFonts w:ascii="Arial" w:hAnsi="Arial" w:cs="Arial"/>
        </w:rPr>
        <w:t>.</w:t>
      </w:r>
      <w:r w:rsidRPr="00A04C8B">
        <w:rPr>
          <w:rStyle w:val="Znakapoznpodarou"/>
          <w:rFonts w:ascii="Arial" w:hAnsi="Arial" w:cs="Arial"/>
        </w:rPr>
        <w:footnoteReference w:id="8"/>
      </w:r>
    </w:p>
    <w:p w14:paraId="1467E602" w14:textId="77777777" w:rsidR="002B09F8" w:rsidRPr="0001228D" w:rsidRDefault="002B09F8" w:rsidP="002B09F8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lastRenderedPageBreak/>
        <w:t xml:space="preserve">Včas nezaplacené poplatky nebo část těchto poplatků může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zvýšit až na trojnásobek; toto zvýšení je příslušenstvím poplatku</w:t>
      </w:r>
      <w:r>
        <w:rPr>
          <w:rFonts w:ascii="Arial" w:hAnsi="Arial" w:cs="Arial"/>
        </w:rPr>
        <w:t xml:space="preserve"> </w:t>
      </w:r>
      <w:r w:rsidRPr="0001228D">
        <w:rPr>
          <w:rFonts w:ascii="Arial" w:hAnsi="Arial" w:cs="Arial"/>
        </w:rPr>
        <w:t>sledujícím jeho osud.</w:t>
      </w:r>
      <w:r w:rsidRPr="0001228D">
        <w:rPr>
          <w:rStyle w:val="Znakapoznpodarou"/>
          <w:rFonts w:ascii="Arial" w:hAnsi="Arial" w:cs="Arial"/>
        </w:rPr>
        <w:footnoteReference w:id="9"/>
      </w:r>
    </w:p>
    <w:p w14:paraId="70EF9278" w14:textId="77777777" w:rsidR="002B09F8" w:rsidRPr="002E0EAD" w:rsidRDefault="002B09F8" w:rsidP="002B09F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1D30B31" w14:textId="77777777" w:rsidR="002B09F8" w:rsidRPr="002E0EAD" w:rsidRDefault="002B09F8" w:rsidP="002B09F8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eastAsiaTheme="majorEastAsia" w:hAnsi="Arial" w:cs="Arial"/>
          <w:sz w:val="22"/>
          <w:szCs w:val="22"/>
        </w:rPr>
        <w:footnoteReference w:id="10"/>
      </w:r>
    </w:p>
    <w:p w14:paraId="08612B8C" w14:textId="77777777" w:rsidR="002B09F8" w:rsidRPr="002E0EAD" w:rsidRDefault="002B09F8" w:rsidP="002B09F8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2D05E0C" w14:textId="77777777" w:rsidR="002B09F8" w:rsidRPr="002E0EAD" w:rsidRDefault="002B09F8" w:rsidP="002B09F8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5EB4B113" w14:textId="77777777" w:rsidR="002B09F8" w:rsidRDefault="002B09F8" w:rsidP="002B09F8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4FA0104" w14:textId="77777777" w:rsidR="002B09F8" w:rsidRPr="00DF5857" w:rsidRDefault="002B09F8" w:rsidP="002B09F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605CB80" w14:textId="77777777" w:rsidR="002B09F8" w:rsidRPr="00DF5857" w:rsidRDefault="002B09F8" w:rsidP="002B09F8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775CA731" w14:textId="77777777" w:rsidR="002B09F8" w:rsidRDefault="002B09F8" w:rsidP="002B09F8">
      <w:pPr>
        <w:numPr>
          <w:ilvl w:val="0"/>
          <w:numId w:val="30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za předchozí kalendářní roky se řídí dosavadními právními předpisy.</w:t>
      </w:r>
    </w:p>
    <w:p w14:paraId="3886FDC2" w14:textId="77777777" w:rsidR="002B09F8" w:rsidRDefault="002B09F8" w:rsidP="002B09F8">
      <w:pPr>
        <w:numPr>
          <w:ilvl w:val="0"/>
          <w:numId w:val="30"/>
        </w:numPr>
        <w:spacing w:before="120" w:after="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1/2011 o místních poplatcích</w:t>
      </w:r>
      <w:r>
        <w:rPr>
          <w:rFonts w:ascii="Arial" w:hAnsi="Arial" w:cs="Arial"/>
          <w:i/>
        </w:rPr>
        <w:t xml:space="preserve">, </w:t>
      </w:r>
      <w:r w:rsidRPr="00DE3D9F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30.3.2011.</w:t>
      </w:r>
    </w:p>
    <w:p w14:paraId="2DC1D82A" w14:textId="77777777" w:rsidR="002B09F8" w:rsidRPr="00DF5857" w:rsidRDefault="002B09F8" w:rsidP="002B09F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008E9130" w14:textId="77777777" w:rsidR="002B09F8" w:rsidRDefault="002B09F8" w:rsidP="002B09F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648E50" w14:textId="77777777" w:rsidR="002B09F8" w:rsidRPr="008D18AB" w:rsidRDefault="002B09F8" w:rsidP="002B09F8">
      <w:pPr>
        <w:pStyle w:val="Nzvylnk"/>
        <w:jc w:val="left"/>
        <w:rPr>
          <w:rFonts w:ascii="Arial" w:hAnsi="Arial" w:cs="Arial"/>
          <w:color w:val="0070C0"/>
        </w:rPr>
      </w:pPr>
    </w:p>
    <w:p w14:paraId="44B495E3" w14:textId="48ABEEF7" w:rsidR="002B09F8" w:rsidRDefault="002B09F8" w:rsidP="002B09F8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</w:t>
      </w:r>
      <w:r w:rsidR="006671F5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6671F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2020. </w:t>
      </w:r>
    </w:p>
    <w:p w14:paraId="5EE71063" w14:textId="77777777" w:rsidR="002B09F8" w:rsidRDefault="002B09F8" w:rsidP="002B09F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B9C69EF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A98C56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D9B026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477055" w14:textId="77777777" w:rsidR="00C34F78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AAD2E24" w14:textId="77777777" w:rsidR="00C34F78" w:rsidRPr="002D0857" w:rsidRDefault="00C34F78" w:rsidP="00C34F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40CFFCEF" w14:textId="77777777" w:rsidR="00C34F78" w:rsidRPr="002D0857" w:rsidRDefault="00C34F78" w:rsidP="00C34F7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6273F35" w14:textId="77777777" w:rsidR="00C34F78" w:rsidRPr="002D0857" w:rsidRDefault="00C34F78" w:rsidP="00C34F7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Pavlína Nováková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Ing. Jan Stránský</w:t>
      </w:r>
    </w:p>
    <w:p w14:paraId="2AB09AB0" w14:textId="77777777" w:rsidR="00C34F78" w:rsidRPr="002D0857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</w:t>
      </w:r>
      <w:r>
        <w:rPr>
          <w:rFonts w:ascii="Arial" w:hAnsi="Arial" w:cs="Arial"/>
        </w:rPr>
        <w:t>ka</w:t>
      </w:r>
      <w:r w:rsidRPr="002D0857">
        <w:rPr>
          <w:rFonts w:ascii="Arial" w:hAnsi="Arial" w:cs="Arial"/>
        </w:rPr>
        <w:tab/>
        <w:t>starosta</w:t>
      </w:r>
    </w:p>
    <w:p w14:paraId="542B21E3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9AB6165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8772BD" w14:textId="77777777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5BFD40A" w14:textId="6949C13F" w:rsidR="00C34F78" w:rsidRDefault="00C34F78" w:rsidP="00C34F78">
      <w:pPr>
        <w:pStyle w:val="Zkladntext"/>
        <w:tabs>
          <w:tab w:val="left" w:pos="1080"/>
          <w:tab w:val="left" w:pos="7020"/>
        </w:tabs>
        <w:spacing w:line="312" w:lineRule="auto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30.1.2020</w:t>
      </w:r>
      <w:proofErr w:type="gramEnd"/>
    </w:p>
    <w:p w14:paraId="7B363D8D" w14:textId="4FC05D80" w:rsidR="00C34F78" w:rsidRPr="000C2DC4" w:rsidRDefault="00C34F78" w:rsidP="00C34F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29.2.2020</w:t>
      </w:r>
    </w:p>
    <w:p w14:paraId="6AE433B8" w14:textId="77777777" w:rsidR="00C34F78" w:rsidRDefault="00C34F78" w:rsidP="00C34F78">
      <w:pPr>
        <w:pStyle w:val="Bezmezer"/>
        <w:jc w:val="both"/>
        <w:rPr>
          <w:b/>
          <w:sz w:val="28"/>
          <w:szCs w:val="28"/>
          <w:u w:val="single"/>
        </w:rPr>
      </w:pPr>
    </w:p>
    <w:p w14:paraId="36749A55" w14:textId="77777777" w:rsidR="00C34F78" w:rsidRDefault="00C34F78"/>
    <w:sectPr w:rsidR="00C34F78" w:rsidSect="00B9636B">
      <w:pgSz w:w="11906" w:h="16838"/>
      <w:pgMar w:top="709" w:right="991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47908" w14:textId="77777777" w:rsidR="007672A1" w:rsidRDefault="007672A1" w:rsidP="00C34F78">
      <w:pPr>
        <w:spacing w:after="0" w:line="240" w:lineRule="auto"/>
      </w:pPr>
      <w:r>
        <w:separator/>
      </w:r>
    </w:p>
  </w:endnote>
  <w:endnote w:type="continuationSeparator" w:id="0">
    <w:p w14:paraId="14DB7F52" w14:textId="77777777" w:rsidR="007672A1" w:rsidRDefault="007672A1" w:rsidP="00C3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36F2F" w14:textId="77777777" w:rsidR="007672A1" w:rsidRDefault="007672A1" w:rsidP="00C34F78">
      <w:pPr>
        <w:spacing w:after="0" w:line="240" w:lineRule="auto"/>
      </w:pPr>
      <w:r>
        <w:separator/>
      </w:r>
    </w:p>
  </w:footnote>
  <w:footnote w:type="continuationSeparator" w:id="0">
    <w:p w14:paraId="3AB72426" w14:textId="77777777" w:rsidR="007672A1" w:rsidRDefault="007672A1" w:rsidP="00C34F78">
      <w:pPr>
        <w:spacing w:after="0" w:line="240" w:lineRule="auto"/>
      </w:pPr>
      <w:r>
        <w:continuationSeparator/>
      </w:r>
    </w:p>
  </w:footnote>
  <w:footnote w:id="1">
    <w:p w14:paraId="616C8785" w14:textId="77777777" w:rsidR="002B09F8" w:rsidRPr="00BD6700" w:rsidRDefault="002B09F8" w:rsidP="002B09F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B97E631" w14:textId="77777777" w:rsidR="002B09F8" w:rsidRPr="00642171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D66965B" w14:textId="77777777" w:rsidR="002B09F8" w:rsidRPr="00642171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3A2EF82" w14:textId="77777777" w:rsidR="002B09F8" w:rsidRPr="0001228D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CCB2EE3" w14:textId="77777777" w:rsidR="002B09F8" w:rsidRPr="0001228D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09D27A15" w14:textId="77777777" w:rsidR="002B09F8" w:rsidRDefault="002B09F8" w:rsidP="002B09F8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AA23345" w14:textId="77777777" w:rsidR="002B09F8" w:rsidRPr="006E461F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6B95CE62" w14:textId="77777777" w:rsidR="002B09F8" w:rsidRPr="00A04C8B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6D1B6A27" w14:textId="77777777" w:rsidR="002B09F8" w:rsidRPr="00A04C8B" w:rsidRDefault="002B09F8" w:rsidP="002B09F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FC45161" w14:textId="77777777" w:rsidR="002B09F8" w:rsidRDefault="002B09F8" w:rsidP="002B09F8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23"/>
  </w:num>
  <w:num w:numId="6">
    <w:abstractNumId w:val="2"/>
  </w:num>
  <w:num w:numId="7">
    <w:abstractNumId w:val="0"/>
  </w:num>
  <w:num w:numId="8">
    <w:abstractNumId w:val="15"/>
  </w:num>
  <w:num w:numId="9">
    <w:abstractNumId w:val="5"/>
  </w:num>
  <w:num w:numId="10">
    <w:abstractNumId w:val="18"/>
  </w:num>
  <w:num w:numId="11">
    <w:abstractNumId w:val="10"/>
  </w:num>
  <w:num w:numId="12">
    <w:abstractNumId w:val="12"/>
  </w:num>
  <w:num w:numId="13">
    <w:abstractNumId w:val="26"/>
  </w:num>
  <w:num w:numId="14">
    <w:abstractNumId w:val="16"/>
  </w:num>
  <w:num w:numId="15">
    <w:abstractNumId w:val="13"/>
  </w:num>
  <w:num w:numId="16">
    <w:abstractNumId w:val="9"/>
  </w:num>
  <w:num w:numId="17">
    <w:abstractNumId w:val="24"/>
  </w:num>
  <w:num w:numId="18">
    <w:abstractNumId w:val="3"/>
  </w:num>
  <w:num w:numId="19">
    <w:abstractNumId w:val="27"/>
  </w:num>
  <w:num w:numId="20">
    <w:abstractNumId w:val="22"/>
  </w:num>
  <w:num w:numId="21">
    <w:abstractNumId w:val="25"/>
  </w:num>
  <w:num w:numId="22">
    <w:abstractNumId w:val="7"/>
  </w:num>
  <w:num w:numId="23">
    <w:abstractNumId w:val="20"/>
  </w:num>
  <w:num w:numId="24">
    <w:abstractNumId w:val="2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4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78"/>
    <w:rsid w:val="000457D9"/>
    <w:rsid w:val="001E56BD"/>
    <w:rsid w:val="002B09F8"/>
    <w:rsid w:val="003C1A8E"/>
    <w:rsid w:val="006671F5"/>
    <w:rsid w:val="00730D2D"/>
    <w:rsid w:val="007672A1"/>
    <w:rsid w:val="00B9636B"/>
    <w:rsid w:val="00C16C9D"/>
    <w:rsid w:val="00C34F78"/>
    <w:rsid w:val="00C36517"/>
    <w:rsid w:val="00F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1DF7"/>
  <w15:chartTrackingRefBased/>
  <w15:docId w15:val="{7F1590C1-5F22-4ABE-B7DE-D9799A2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636B"/>
    <w:pPr>
      <w:keepNext/>
      <w:keepLines/>
      <w:numPr>
        <w:ilvl w:val="6"/>
        <w:numId w:val="2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636B"/>
    <w:pPr>
      <w:keepNext/>
      <w:keepLines/>
      <w:numPr>
        <w:ilvl w:val="7"/>
        <w:numId w:val="2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636B"/>
    <w:pPr>
      <w:keepNext/>
      <w:keepLines/>
      <w:numPr>
        <w:ilvl w:val="8"/>
        <w:numId w:val="2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4F7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34F7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C34F78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C34F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4F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34F7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4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34F78"/>
    <w:rPr>
      <w:vertAlign w:val="superscript"/>
    </w:rPr>
  </w:style>
  <w:style w:type="paragraph" w:customStyle="1" w:styleId="slalnk">
    <w:name w:val="Čísla článků"/>
    <w:basedOn w:val="Normln"/>
    <w:rsid w:val="00C34F7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34F78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78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3651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36517"/>
  </w:style>
  <w:style w:type="paragraph" w:customStyle="1" w:styleId="nzevzkona">
    <w:name w:val="název zákona"/>
    <w:basedOn w:val="Nzev"/>
    <w:rsid w:val="00C3651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Oddstavcevlncch">
    <w:name w:val="Oddstavce v článcích"/>
    <w:basedOn w:val="Normln"/>
    <w:next w:val="Normln"/>
    <w:rsid w:val="00C36517"/>
    <w:pPr>
      <w:keepLines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36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6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636B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636B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636B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B9636B"/>
    <w:pPr>
      <w:keepNext/>
      <w:keepLines/>
      <w:numPr>
        <w:numId w:val="2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B9636B"/>
    <w:pPr>
      <w:keepNext/>
      <w:keepLines/>
      <w:numPr>
        <w:ilvl w:val="1"/>
        <w:numId w:val="2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B9636B"/>
    <w:pPr>
      <w:numPr>
        <w:ilvl w:val="4"/>
        <w:numId w:val="2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9636B"/>
    <w:pPr>
      <w:numPr>
        <w:ilvl w:val="3"/>
        <w:numId w:val="2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B9636B"/>
    <w:pPr>
      <w:numPr>
        <w:ilvl w:val="2"/>
        <w:numId w:val="2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B9636B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Privrat</dc:creator>
  <cp:keywords/>
  <dc:description/>
  <cp:lastModifiedBy>Vladimír</cp:lastModifiedBy>
  <cp:revision>5</cp:revision>
  <cp:lastPrinted>2021-02-19T12:44:00Z</cp:lastPrinted>
  <dcterms:created xsi:type="dcterms:W3CDTF">2020-10-27T09:14:00Z</dcterms:created>
  <dcterms:modified xsi:type="dcterms:W3CDTF">2021-02-25T21:01:00Z</dcterms:modified>
</cp:coreProperties>
</file>